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21899862"/>
      <w:r>
        <w:rPr>
          <w:rFonts w:hint="eastAsia"/>
        </w:rPr>
        <w:t>综合办公室（党务 行政 后勤）工作制度</w:t>
      </w:r>
      <w:bookmarkEnd w:id="0"/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1、协助贯彻落实党的路线方针和政策，执行上级文件、指示与规定，对接校内外相关职能部门会议与工作。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、协调院党政联席会、中心组理论学习、院级专题会议，起草工作计划与总结、报告与通知、决议与纪要，督促协调工作落实。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、牵头开展医院基层党建、党风廉政、机关作风、师德医风、统战离退休、宣传信息、安全稳定与保密工作；开展院教代会、院工会和医院文化建设。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、牵头年终与聘期考核、上班考勤、工资津贴及</w:t>
      </w: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各类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岗位聘用与人事异动。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、负责文件收发传阅、信访</w:t>
      </w: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接待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、印章管理。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6、负责国有资产管理、办公耗材管理、内部维修与保障以及消防创安工作。</w:t>
      </w:r>
    </w:p>
    <w:p>
      <w:pPr>
        <w:pStyle w:val="3"/>
        <w:spacing w:line="460" w:lineRule="exact"/>
        <w:ind w:firstLine="451" w:firstLineChars="215"/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、协助网络信息化建设，用好医院网、校园网、微信与QQ群。</w:t>
      </w:r>
    </w:p>
    <w:p>
      <w:pPr>
        <w:pStyle w:val="3"/>
        <w:spacing w:line="460" w:lineRule="exact"/>
        <w:ind w:firstLine="451" w:firstLineChars="215"/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、进行医院环境、</w:t>
      </w: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建设和院内绿化工作。</w:t>
      </w:r>
    </w:p>
    <w:p>
      <w:pPr>
        <w:pStyle w:val="3"/>
        <w:spacing w:line="460" w:lineRule="exact"/>
        <w:ind w:firstLine="451" w:firstLineChars="215"/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hAnsi="宋体" w:cs="宋体"/>
          <w:color w:val="000000" w:themeColor="text1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领导交办的其它工作。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2277D"/>
    <w:rsid w:val="7432277D"/>
    <w:rsid w:val="769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360" w:line="40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2020-10-20T03:25:00Z</dcterms:created>
  <dc:creator>张少民</dc:creator>
  <cp:lastModifiedBy>张少民</cp:lastModifiedBy>
  <dcterms:modified xsi:type="dcterms:W3CDTF">2020-10-20T03:26:01Z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