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highlight w:val="none"/>
        </w:rPr>
      </w:pPr>
      <w:bookmarkStart w:id="0" w:name="_Toc21899865"/>
      <w:r>
        <w:rPr>
          <w:rFonts w:hint="eastAsia"/>
          <w:highlight w:val="none"/>
        </w:rPr>
        <w:t>公卫科工作制度</w:t>
      </w:r>
      <w:bookmarkEnd w:id="0"/>
    </w:p>
    <w:p>
      <w:pPr>
        <w:widowControl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1、负责全院公共卫生工作。</w:t>
      </w:r>
    </w:p>
    <w:p>
      <w:pPr>
        <w:widowControl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、负责居民健康档案管理、健康教育。</w:t>
      </w:r>
    </w:p>
    <w:p>
      <w:pPr>
        <w:widowControl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、负责预防接种、0～6岁儿童健康管理，孕产妇健康管理。</w:t>
      </w:r>
    </w:p>
    <w:p>
      <w:pPr>
        <w:widowControl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、负责老年人健康管理，慢性病患者健康管理（包括高血压患者健康管理和2型糖尿病患者健康管理）。</w:t>
      </w:r>
    </w:p>
    <w:p>
      <w:pPr>
        <w:widowControl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、负责严重精神障碍患者管理，肺结核患者健康管理。</w:t>
      </w:r>
    </w:p>
    <w:p>
      <w:pPr>
        <w:widowControl/>
        <w:jc w:val="left"/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、负责中医药健康管理，传染病及突发公共卫生事件报告和处理。</w:t>
      </w:r>
    </w:p>
    <w:p>
      <w:pPr>
        <w:widowControl/>
        <w:jc w:val="left"/>
      </w:pPr>
      <w:r>
        <w:rPr>
          <w:rFonts w:hint="eastAsia" w:ascii="宋体" w:hAnsi="宋体" w:cs="宋体"/>
          <w:color w:val="000000" w:themeColor="text1"/>
          <w:szCs w:val="21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7、负责卫生计生监督协管等。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20C21"/>
    <w:rsid w:val="769C1825"/>
    <w:rsid w:val="7CC2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60" w:after="360" w:line="40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2020-10-20T07:24:00Z</dcterms:created>
  <dc:creator>张少民</dc:creator>
  <cp:lastModifiedBy>张少民</cp:lastModifiedBy>
  <dcterms:modified xsi:type="dcterms:W3CDTF">2020-10-20T07:24:11Z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